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1AA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B7997" wp14:editId="2EE46654">
                <wp:simplePos x="0" y="0"/>
                <wp:positionH relativeFrom="column">
                  <wp:posOffset>1782445</wp:posOffset>
                </wp:positionH>
                <wp:positionV relativeFrom="paragraph">
                  <wp:posOffset>205105</wp:posOffset>
                </wp:positionV>
                <wp:extent cx="39319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57D" w:rsidRPr="00221AAB" w:rsidRDefault="003A657D" w:rsidP="003A657D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 w:rsidRPr="00221AAB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Střední škola hotelová a služeb Kroměříž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B79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0.35pt;margin-top:16.15pt;width:30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" stroked="f">
                <v:textbox style="mso-fit-shape-to-text:t">
                  <w:txbxContent>
                    <w:p w:rsidR="003A657D" w:rsidRPr="00221AAB" w:rsidRDefault="003A657D" w:rsidP="003A657D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  <w:r w:rsidRPr="00221AAB">
                        <w:rPr>
                          <w:rFonts w:ascii="Amasis MT Pro" w:hAnsi="Amasis MT Pro"/>
                          <w:sz w:val="32"/>
                          <w:szCs w:val="32"/>
                        </w:rPr>
                        <w:t>Střední škola hotelová a služeb Kroměříž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B368181" wp14:editId="4512F54C">
            <wp:extent cx="1428723" cy="739140"/>
            <wp:effectExtent l="0" t="0" r="635" b="3810"/>
            <wp:docPr id="3" name="Obrázek 2" descr="Obsah obrázku logo, symbol, Písm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logo, symbol, Písmo, Grafika&#10;&#10;Popis byl vytvořen automaticky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214" t="8045" r="6228"/>
                    <a:stretch/>
                  </pic:blipFill>
                  <pic:spPr>
                    <a:xfrm>
                      <a:off x="0" y="0"/>
                      <a:ext cx="1435439" cy="74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</w:p>
    <w:p w:rsidR="003A657D" w:rsidRPr="00221AAB" w:rsidRDefault="003A657D" w:rsidP="003A657D">
      <w:pPr>
        <w:spacing w:line="276" w:lineRule="auto"/>
        <w:ind w:left="0"/>
        <w:jc w:val="center"/>
        <w:rPr>
          <w:rFonts w:ascii="Amasis MT Pro" w:hAnsi="Amasis MT Pro"/>
          <w:sz w:val="32"/>
          <w:szCs w:val="32"/>
        </w:rPr>
      </w:pPr>
      <w:r w:rsidRPr="00221AAB">
        <w:rPr>
          <w:rFonts w:ascii="Amasis MT Pro" w:hAnsi="Amasis MT Pro"/>
          <w:sz w:val="32"/>
          <w:szCs w:val="32"/>
        </w:rPr>
        <w:t>Kritéria hodnocení ústní zkoušky z českého jazyka a literatury</w:t>
      </w:r>
    </w:p>
    <w:p w:rsidR="00DC3C04" w:rsidRDefault="00DC3C04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p w:rsidR="003A657D" w:rsidRDefault="003A657D" w:rsidP="003A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Žák má na přípravu 20 minut, zkoušení trvá 15 minut. Zadáním zkoušky je literární dílo,</w:t>
      </w:r>
      <w:r>
        <w:rPr>
          <w:rFonts w:ascii="Times New Roman" w:hAnsi="Times New Roman" w:cs="Times New Roman"/>
          <w:sz w:val="24"/>
          <w:szCs w:val="24"/>
        </w:rPr>
        <w:br/>
        <w:t xml:space="preserve">2/3 celkové časové dotace by měly být věnovány rozboru uměleckého textu a charakteristice </w:t>
      </w:r>
      <w:r w:rsidRPr="00F76049">
        <w:rPr>
          <w:rFonts w:ascii="Times New Roman" w:hAnsi="Times New Roman" w:cs="Times New Roman"/>
          <w:sz w:val="24"/>
          <w:szCs w:val="24"/>
        </w:rPr>
        <w:t>literárněhistorického kontextu</w:t>
      </w:r>
      <w:r>
        <w:rPr>
          <w:rFonts w:ascii="Times New Roman" w:hAnsi="Times New Roman" w:cs="Times New Roman"/>
          <w:sz w:val="24"/>
          <w:szCs w:val="24"/>
        </w:rPr>
        <w:t xml:space="preserve"> (orientačně 10 minut), 1/3 </w:t>
      </w:r>
      <w:r w:rsidRPr="00F76049">
        <w:rPr>
          <w:rFonts w:ascii="Times New Roman" w:hAnsi="Times New Roman" w:cs="Times New Roman"/>
          <w:sz w:val="24"/>
          <w:szCs w:val="24"/>
        </w:rPr>
        <w:t>analýze neuměleckého textu</w:t>
      </w:r>
      <w:r>
        <w:rPr>
          <w:rFonts w:ascii="Times New Roman" w:hAnsi="Times New Roman" w:cs="Times New Roman"/>
          <w:sz w:val="24"/>
          <w:szCs w:val="24"/>
        </w:rPr>
        <w:t xml:space="preserve"> (orientačně 5 minut). Po celou dobu zkoušky se hodnotí </w:t>
      </w:r>
      <w:r w:rsidRPr="00F1177D">
        <w:rPr>
          <w:rFonts w:ascii="Times New Roman" w:hAnsi="Times New Roman" w:cs="Times New Roman"/>
          <w:sz w:val="24"/>
          <w:szCs w:val="24"/>
        </w:rPr>
        <w:t>výpověď v souladu s jazykovými normami a se zásadami jazykové kultury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7D" w:rsidRPr="00F76049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je hodnocen v sedmi oblastech, za celou zkoušku může získat maximálně </w:t>
      </w:r>
      <w:r>
        <w:rPr>
          <w:rFonts w:ascii="Times New Roman" w:hAnsi="Times New Roman" w:cs="Times New Roman"/>
          <w:b/>
          <w:bCs/>
          <w:sz w:val="24"/>
          <w:szCs w:val="24"/>
        </w:rPr>
        <w:t>28 bodů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7D" w:rsidRDefault="003A657D" w:rsidP="003A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Zůstává v platnosti tabulka hodnocení daná CERMATEM. Zde jsou uvedeny oblasti hodnocení a jejich bodování.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77D">
        <w:rPr>
          <w:rFonts w:ascii="Times New Roman" w:hAnsi="Times New Roman" w:cs="Times New Roman"/>
          <w:sz w:val="24"/>
          <w:szCs w:val="24"/>
        </w:rPr>
        <w:t xml:space="preserve">Aby žák splnil ÚSTNÍ ZKOUŠKU Z ČESKÉHO JAZYKA A LITERATURY, musí dosáhnout minimálně </w:t>
      </w:r>
      <w:r w:rsidRPr="00F1177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177D">
        <w:rPr>
          <w:rFonts w:ascii="Times New Roman" w:hAnsi="Times New Roman" w:cs="Times New Roman"/>
          <w:b/>
          <w:bCs/>
          <w:sz w:val="24"/>
          <w:szCs w:val="24"/>
        </w:rPr>
        <w:t xml:space="preserve"> bodů</w:t>
      </w:r>
      <w:r w:rsidRPr="00F1177D">
        <w:rPr>
          <w:rFonts w:ascii="Times New Roman" w:hAnsi="Times New Roman" w:cs="Times New Roman"/>
          <w:sz w:val="24"/>
          <w:szCs w:val="24"/>
        </w:rPr>
        <w:t xml:space="preserve"> a splnit všechny vnitřní podmínky hodnocení ústní maturitní zkoušky.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Pr="00F117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23C5">
        <w:rPr>
          <w:rFonts w:ascii="Times New Roman" w:hAnsi="Times New Roman" w:cs="Times New Roman"/>
          <w:sz w:val="24"/>
          <w:szCs w:val="24"/>
          <w:u w:val="single"/>
        </w:rPr>
        <w:t>Vnitřní podmínky hodnocení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57D" w:rsidRPr="00CD23C5" w:rsidRDefault="003A657D" w:rsidP="003A657D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23C5">
        <w:rPr>
          <w:rFonts w:ascii="Times New Roman" w:hAnsi="Times New Roman" w:cs="Times New Roman"/>
          <w:b/>
          <w:bCs/>
          <w:sz w:val="24"/>
          <w:szCs w:val="24"/>
        </w:rPr>
        <w:t>1. podmínka</w:t>
      </w:r>
    </w:p>
    <w:p w:rsidR="003A657D" w:rsidRPr="00F117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77D">
        <w:rPr>
          <w:rFonts w:ascii="Times New Roman" w:hAnsi="Times New Roman" w:cs="Times New Roman"/>
          <w:sz w:val="24"/>
          <w:szCs w:val="24"/>
        </w:rPr>
        <w:t>Žák musí získat z analýzy uměleckého textu a literárněhistorického kontextu alespoň 4 body. Pokud získá méně než 4 body, je za ústní zkoušku celkově hodnocen 0 body.</w:t>
      </w:r>
    </w:p>
    <w:p w:rsidR="003A657D" w:rsidRPr="00CD23C5" w:rsidRDefault="003A657D" w:rsidP="003A657D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23C5">
        <w:rPr>
          <w:rFonts w:ascii="Times New Roman" w:hAnsi="Times New Roman" w:cs="Times New Roman"/>
          <w:b/>
          <w:bCs/>
          <w:sz w:val="24"/>
          <w:szCs w:val="24"/>
        </w:rPr>
        <w:t>2. podmínka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77D">
        <w:rPr>
          <w:rFonts w:ascii="Times New Roman" w:hAnsi="Times New Roman" w:cs="Times New Roman"/>
          <w:sz w:val="24"/>
          <w:szCs w:val="24"/>
        </w:rPr>
        <w:t>Žák musí získat z analýzy uměleckého textu alespoň 3 body. Pokud získá méně než 3 body, je za ústní zkoušku celkově hodnocen 0 body.</w:t>
      </w:r>
    </w:p>
    <w:p w:rsidR="003A657D" w:rsidRPr="00CD23C5" w:rsidRDefault="003A657D" w:rsidP="003A657D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23C5">
        <w:rPr>
          <w:rFonts w:ascii="Times New Roman" w:hAnsi="Times New Roman" w:cs="Times New Roman"/>
          <w:b/>
          <w:bCs/>
          <w:sz w:val="24"/>
          <w:szCs w:val="24"/>
        </w:rPr>
        <w:t>3. podmínka</w:t>
      </w:r>
    </w:p>
    <w:p w:rsidR="003A657D" w:rsidRPr="00F117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77D">
        <w:rPr>
          <w:rFonts w:ascii="Times New Roman" w:hAnsi="Times New Roman" w:cs="Times New Roman"/>
          <w:sz w:val="24"/>
          <w:szCs w:val="24"/>
        </w:rPr>
        <w:t xml:space="preserve">Žák musí získat z literárněhistorického kontextu alespoň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177D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177D">
        <w:rPr>
          <w:rFonts w:ascii="Times New Roman" w:hAnsi="Times New Roman" w:cs="Times New Roman"/>
          <w:sz w:val="24"/>
          <w:szCs w:val="24"/>
        </w:rPr>
        <w:t xml:space="preserve"> Pokud získá méně než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177D">
        <w:rPr>
          <w:rFonts w:ascii="Times New Roman" w:hAnsi="Times New Roman" w:cs="Times New Roman"/>
          <w:sz w:val="24"/>
          <w:szCs w:val="24"/>
        </w:rPr>
        <w:t xml:space="preserve"> bod, je za ústní zkoušku celkově hodnocen 0 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7D" w:rsidRPr="00CD23C5" w:rsidRDefault="003A657D" w:rsidP="003A657D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23C5">
        <w:rPr>
          <w:rFonts w:ascii="Times New Roman" w:hAnsi="Times New Roman" w:cs="Times New Roman"/>
          <w:b/>
          <w:bCs/>
          <w:sz w:val="24"/>
          <w:szCs w:val="24"/>
        </w:rPr>
        <w:t>4. podmínka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77D">
        <w:rPr>
          <w:rFonts w:ascii="Times New Roman" w:hAnsi="Times New Roman" w:cs="Times New Roman"/>
          <w:sz w:val="24"/>
          <w:szCs w:val="24"/>
        </w:rPr>
        <w:t>Pokud žák získá v některé z dílčích částí ústní zkoušky 0 bodů, může být v kritériu výpověď v souladu s jazykovými normami a zásadami jazykové kultury hodnocen maximálně 3 body.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Pr="0079445C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jednom dni </w:t>
      </w:r>
      <w:r>
        <w:rPr>
          <w:rFonts w:ascii="Times New Roman" w:hAnsi="Times New Roman" w:cs="Times New Roman"/>
          <w:b/>
          <w:bCs/>
          <w:sz w:val="24"/>
          <w:szCs w:val="24"/>
        </w:rPr>
        <w:t>nelze</w:t>
      </w:r>
      <w:r>
        <w:rPr>
          <w:rFonts w:ascii="Times New Roman" w:hAnsi="Times New Roman" w:cs="Times New Roman"/>
          <w:sz w:val="24"/>
          <w:szCs w:val="24"/>
        </w:rPr>
        <w:t xml:space="preserve"> losovat dvakrát pracovní list ke stejnému literárnímu dílu. (</w:t>
      </w:r>
      <w:r w:rsidRPr="0079445C">
        <w:rPr>
          <w:rFonts w:ascii="Times New Roman" w:hAnsi="Times New Roman" w:cs="Times New Roman"/>
          <w:sz w:val="24"/>
          <w:szCs w:val="24"/>
        </w:rPr>
        <w:t>Vyhláška č. 177/2009 Sb.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9445C">
        <w:rPr>
          <w:rFonts w:ascii="Times New Roman" w:hAnsi="Times New Roman" w:cs="Times New Roman"/>
          <w:sz w:val="24"/>
          <w:szCs w:val="24"/>
        </w:rPr>
        <w:t>Vyhláška o bližších podmínkách ukončování vzdělávání ve středních školách maturitní zkouškou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Schváleno </w:t>
      </w:r>
      <w:r w:rsidRPr="00EC11E3">
        <w:rPr>
          <w:rFonts w:ascii="Times New Roman" w:hAnsi="Times New Roman" w:cs="Times New Roman"/>
          <w:sz w:val="24"/>
          <w:szCs w:val="24"/>
        </w:rPr>
        <w:t>předmětov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EC11E3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C11E3">
        <w:rPr>
          <w:rFonts w:ascii="Times New Roman" w:hAnsi="Times New Roman" w:cs="Times New Roman"/>
          <w:sz w:val="24"/>
          <w:szCs w:val="24"/>
        </w:rPr>
        <w:t xml:space="preserve"> humanitních všeobecně vzdělávacích předmětů</w:t>
      </w:r>
      <w:r w:rsidR="00E50DDE">
        <w:rPr>
          <w:rFonts w:ascii="Times New Roman" w:hAnsi="Times New Roman" w:cs="Times New Roman"/>
          <w:sz w:val="24"/>
          <w:szCs w:val="24"/>
        </w:rPr>
        <w:br/>
        <w:t>dne 18. 9.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57D" w:rsidRDefault="003A657D"/>
    <w:p w:rsidR="003A657D" w:rsidRDefault="003A657D"/>
    <w:p w:rsidR="003A657D" w:rsidRDefault="003A657D">
      <w:bookmarkStart w:id="0" w:name="_GoBack"/>
      <w:bookmarkEnd w:id="0"/>
    </w:p>
    <w:p w:rsidR="003A657D" w:rsidRDefault="003A657D"/>
    <w:p w:rsidR="003A657D" w:rsidRDefault="003A657D"/>
    <w:p w:rsidR="003A657D" w:rsidRDefault="003A657D"/>
    <w:p w:rsidR="003A657D" w:rsidRDefault="003A657D"/>
    <w:p w:rsidR="003A657D" w:rsidRDefault="003A657D"/>
    <w:tbl>
      <w:tblPr>
        <w:tblStyle w:val="Mkatabulky"/>
        <w:tblpPr w:leftFromText="141" w:rightFromText="141" w:vertAnchor="page" w:horzAnchor="margin" w:tblpXSpec="center" w:tblpY="1813"/>
        <w:tblW w:w="10060" w:type="dxa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4678"/>
        <w:gridCol w:w="1134"/>
      </w:tblGrid>
      <w:tr w:rsidR="003A657D" w:rsidTr="004A0259">
        <w:trPr>
          <w:trHeight w:val="703"/>
        </w:trPr>
        <w:tc>
          <w:tcPr>
            <w:tcW w:w="2088" w:type="dxa"/>
          </w:tcPr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724C4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2160" w:type="dxa"/>
          </w:tcPr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724C4">
              <w:rPr>
                <w:b/>
                <w:sz w:val="24"/>
                <w:szCs w:val="24"/>
              </w:rPr>
              <w:t>DÍLČÍ ČÁST</w:t>
            </w:r>
          </w:p>
        </w:tc>
        <w:tc>
          <w:tcPr>
            <w:tcW w:w="4678" w:type="dxa"/>
          </w:tcPr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724C4">
              <w:rPr>
                <w:b/>
                <w:sz w:val="24"/>
                <w:szCs w:val="24"/>
              </w:rPr>
              <w:t>OVĚŘOVANÉ VĚDOMOSTI A DOVEDNOSTI</w:t>
            </w:r>
          </w:p>
        </w:tc>
        <w:tc>
          <w:tcPr>
            <w:tcW w:w="1134" w:type="dxa"/>
          </w:tcPr>
          <w:p w:rsidR="003A657D" w:rsidRPr="00A724C4" w:rsidRDefault="003A657D" w:rsidP="004A025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724C4">
              <w:rPr>
                <w:b/>
                <w:sz w:val="24"/>
                <w:szCs w:val="24"/>
              </w:rPr>
              <w:t>POČET BODŮ</w:t>
            </w:r>
          </w:p>
        </w:tc>
      </w:tr>
      <w:tr w:rsidR="003A657D" w:rsidTr="004A0259">
        <w:trPr>
          <w:trHeight w:val="1551"/>
        </w:trPr>
        <w:tc>
          <w:tcPr>
            <w:tcW w:w="2088" w:type="dxa"/>
            <w:vMerge w:val="restart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CHARAKTERISTIKA</w:t>
            </w: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UMĚLECKÉHO</w:t>
            </w:r>
          </w:p>
          <w:p w:rsidR="003A657D" w:rsidRDefault="003A657D" w:rsidP="004A0259">
            <w:pPr>
              <w:ind w:left="0"/>
            </w:pPr>
            <w:r w:rsidRPr="00C36255">
              <w:rPr>
                <w:b/>
              </w:rPr>
              <w:t>TEXTU</w:t>
            </w:r>
          </w:p>
        </w:tc>
        <w:tc>
          <w:tcPr>
            <w:tcW w:w="2160" w:type="dxa"/>
            <w:vMerge w:val="restart"/>
          </w:tcPr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analýza</w:t>
            </w: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uměleckého</w:t>
            </w: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textu</w:t>
            </w:r>
          </w:p>
          <w:p w:rsidR="003A657D" w:rsidRDefault="003A657D" w:rsidP="004A0259">
            <w:pPr>
              <w:ind w:left="0"/>
            </w:pP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I. část</w:t>
            </w:r>
          </w:p>
          <w:p w:rsidR="003A657D" w:rsidRDefault="003A657D" w:rsidP="004A0259">
            <w:pPr>
              <w:ind w:left="0"/>
            </w:pPr>
            <w:r>
              <w:t>- zasazení výňatku do kontextu díla</w:t>
            </w:r>
          </w:p>
          <w:p w:rsidR="003A657D" w:rsidRDefault="003A657D" w:rsidP="004A0259">
            <w:pPr>
              <w:ind w:left="0"/>
            </w:pPr>
            <w:r>
              <w:t>- téma a motivy</w:t>
            </w:r>
          </w:p>
          <w:p w:rsidR="003A657D" w:rsidRDefault="003A657D" w:rsidP="004A0259">
            <w:pPr>
              <w:ind w:left="0"/>
            </w:pPr>
            <w:r>
              <w:t>- časoprostor</w:t>
            </w:r>
          </w:p>
          <w:p w:rsidR="003A657D" w:rsidRDefault="003A657D" w:rsidP="004A0259">
            <w:pPr>
              <w:ind w:left="0"/>
            </w:pPr>
            <w:r>
              <w:t>- kompoziční výstavba</w:t>
            </w:r>
          </w:p>
          <w:p w:rsidR="003A657D" w:rsidRDefault="003A657D" w:rsidP="004A0259">
            <w:pPr>
              <w:ind w:left="0"/>
            </w:pPr>
            <w:r>
              <w:t>- literární druh a žánr</w:t>
            </w: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jc w:val="center"/>
              <w:rPr>
                <w:b/>
              </w:rPr>
            </w:pPr>
          </w:p>
          <w:p w:rsidR="003A657D" w:rsidRDefault="003A657D" w:rsidP="004A0259">
            <w:pPr>
              <w:ind w:left="0"/>
              <w:jc w:val="center"/>
              <w:rPr>
                <w:b/>
              </w:rPr>
            </w:pPr>
          </w:p>
          <w:p w:rsidR="003A657D" w:rsidRPr="00C36255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1132"/>
        </w:trPr>
        <w:tc>
          <w:tcPr>
            <w:tcW w:w="2088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2160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II. část</w:t>
            </w:r>
          </w:p>
          <w:p w:rsidR="003A657D" w:rsidRDefault="003A657D" w:rsidP="004A0259">
            <w:pPr>
              <w:ind w:left="0"/>
            </w:pPr>
            <w:r>
              <w:t>- vypravěč</w:t>
            </w:r>
          </w:p>
          <w:p w:rsidR="003A657D" w:rsidRDefault="003A657D" w:rsidP="004A0259">
            <w:pPr>
              <w:ind w:left="0"/>
            </w:pPr>
            <w:r>
              <w:t>- postavy</w:t>
            </w:r>
          </w:p>
          <w:p w:rsidR="003A657D" w:rsidRDefault="003A657D" w:rsidP="004A0259">
            <w:pPr>
              <w:ind w:left="0"/>
            </w:pPr>
            <w:r>
              <w:t>- vyprávěcí způsoby a typy promluv</w:t>
            </w:r>
          </w:p>
          <w:p w:rsidR="003A657D" w:rsidRDefault="003A657D" w:rsidP="004A0259">
            <w:pPr>
              <w:ind w:left="0"/>
            </w:pPr>
            <w:r>
              <w:t>- veršová výstavba</w:t>
            </w: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jc w:val="center"/>
              <w:rPr>
                <w:b/>
              </w:rPr>
            </w:pPr>
          </w:p>
          <w:p w:rsidR="003A657D" w:rsidRDefault="003A657D" w:rsidP="004A0259">
            <w:pPr>
              <w:ind w:left="0"/>
              <w:jc w:val="center"/>
              <w:rPr>
                <w:b/>
              </w:rPr>
            </w:pPr>
          </w:p>
          <w:p w:rsidR="003A657D" w:rsidRPr="00C36255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970"/>
        </w:trPr>
        <w:tc>
          <w:tcPr>
            <w:tcW w:w="2088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2160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III. část</w:t>
            </w:r>
          </w:p>
          <w:p w:rsidR="003A657D" w:rsidRDefault="003A657D" w:rsidP="004A0259">
            <w:pPr>
              <w:ind w:left="0"/>
            </w:pPr>
            <w:r>
              <w:t>- jazykové prostředky a jejich funkce ve výňatku; tropy a figury a jejich funkce ve výňatku</w:t>
            </w: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Pr="00C36255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572"/>
        </w:trPr>
        <w:tc>
          <w:tcPr>
            <w:tcW w:w="2088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2160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literárněhistorický</w:t>
            </w:r>
          </w:p>
          <w:p w:rsidR="003A657D" w:rsidRDefault="003A657D" w:rsidP="004A0259">
            <w:pPr>
              <w:ind w:left="0"/>
            </w:pPr>
            <w:r w:rsidRPr="00C36255">
              <w:rPr>
                <w:b/>
              </w:rPr>
              <w:t>kontext</w:t>
            </w:r>
          </w:p>
        </w:tc>
        <w:tc>
          <w:tcPr>
            <w:tcW w:w="4678" w:type="dxa"/>
          </w:tcPr>
          <w:p w:rsidR="003A657D" w:rsidRDefault="003A657D" w:rsidP="004A0259">
            <w:pPr>
              <w:ind w:left="0"/>
            </w:pPr>
            <w:r>
              <w:t>- kontext autorovy tvorby</w:t>
            </w:r>
          </w:p>
          <w:p w:rsidR="003A657D" w:rsidRDefault="003A657D" w:rsidP="004A0259">
            <w:pPr>
              <w:ind w:left="0"/>
            </w:pPr>
            <w:r>
              <w:t>- literární/obecně kulturní kontext</w:t>
            </w: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jc w:val="center"/>
            </w:pPr>
          </w:p>
          <w:p w:rsidR="003A657D" w:rsidRDefault="003A657D" w:rsidP="004A0259">
            <w:pPr>
              <w:ind w:left="0"/>
              <w:jc w:val="center"/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1119"/>
        </w:trPr>
        <w:tc>
          <w:tcPr>
            <w:tcW w:w="2088" w:type="dxa"/>
            <w:vMerge w:val="restart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CHARAKTERISTIKA</w:t>
            </w: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NEUMĚLECKÉHO</w:t>
            </w:r>
          </w:p>
          <w:p w:rsidR="003A657D" w:rsidRDefault="003A657D" w:rsidP="004A0259">
            <w:pPr>
              <w:ind w:left="0"/>
            </w:pPr>
            <w:r w:rsidRPr="00C36255">
              <w:rPr>
                <w:b/>
              </w:rPr>
              <w:t>TEXTU</w:t>
            </w:r>
          </w:p>
        </w:tc>
        <w:tc>
          <w:tcPr>
            <w:tcW w:w="2160" w:type="dxa"/>
            <w:vMerge w:val="restart"/>
          </w:tcPr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Default="003A657D" w:rsidP="004A0259">
            <w:pPr>
              <w:ind w:left="0"/>
            </w:pP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analýza</w:t>
            </w:r>
          </w:p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neuměleckého</w:t>
            </w:r>
          </w:p>
          <w:p w:rsidR="003A657D" w:rsidRDefault="003A657D" w:rsidP="004A0259">
            <w:pPr>
              <w:ind w:left="0"/>
            </w:pPr>
            <w:r w:rsidRPr="00C36255">
              <w:rPr>
                <w:b/>
              </w:rPr>
              <w:t>textu</w:t>
            </w: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I. část</w:t>
            </w:r>
          </w:p>
          <w:p w:rsidR="003A657D" w:rsidRDefault="003A657D" w:rsidP="004A0259">
            <w:pPr>
              <w:ind w:left="0"/>
            </w:pPr>
            <w:r>
              <w:t>- souvislost mezi výňatky</w:t>
            </w:r>
          </w:p>
          <w:p w:rsidR="003A657D" w:rsidRDefault="003A657D" w:rsidP="004A0259">
            <w:pPr>
              <w:ind w:left="0"/>
            </w:pPr>
            <w:r>
              <w:t>- hlavní myšlenka textu</w:t>
            </w:r>
          </w:p>
          <w:p w:rsidR="003A657D" w:rsidRDefault="003A657D" w:rsidP="004A0259">
            <w:pPr>
              <w:ind w:left="0"/>
            </w:pPr>
            <w:r>
              <w:t>- komunikační situace (např. účel, adresát)</w:t>
            </w: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Pr="00C36255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1419"/>
        </w:trPr>
        <w:tc>
          <w:tcPr>
            <w:tcW w:w="2088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2160" w:type="dxa"/>
            <w:vMerge/>
          </w:tcPr>
          <w:p w:rsidR="003A657D" w:rsidRDefault="003A657D" w:rsidP="004A0259">
            <w:pPr>
              <w:ind w:left="0"/>
            </w:pP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  <w:r w:rsidRPr="00C36255">
              <w:rPr>
                <w:b/>
              </w:rPr>
              <w:t>II. část</w:t>
            </w:r>
          </w:p>
          <w:p w:rsidR="003A657D" w:rsidRDefault="003A657D" w:rsidP="004A0259">
            <w:pPr>
              <w:ind w:left="0"/>
            </w:pPr>
            <w:r>
              <w:t>- funkční styl</w:t>
            </w:r>
          </w:p>
          <w:p w:rsidR="003A657D" w:rsidRDefault="003A657D" w:rsidP="004A0259">
            <w:pPr>
              <w:ind w:left="0"/>
            </w:pPr>
            <w:r>
              <w:t>- slohový postup</w:t>
            </w:r>
          </w:p>
          <w:p w:rsidR="003A657D" w:rsidRDefault="003A657D" w:rsidP="004A0259">
            <w:pPr>
              <w:ind w:left="0"/>
            </w:pPr>
            <w:r>
              <w:t>- slohový útvar</w:t>
            </w:r>
          </w:p>
          <w:p w:rsidR="003A657D" w:rsidRDefault="003A657D" w:rsidP="004A0259">
            <w:pPr>
              <w:ind w:left="0"/>
            </w:pPr>
            <w:r>
              <w:t>- jazykové prostředky a jejich funkce ve výňatku</w:t>
            </w:r>
          </w:p>
          <w:p w:rsidR="003A657D" w:rsidRDefault="003A657D" w:rsidP="004A0259">
            <w:pPr>
              <w:ind w:left="0"/>
            </w:pP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Pr="00C36255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657D" w:rsidTr="004A0259">
        <w:trPr>
          <w:trHeight w:val="1419"/>
        </w:trPr>
        <w:tc>
          <w:tcPr>
            <w:tcW w:w="2088" w:type="dxa"/>
          </w:tcPr>
          <w:p w:rsidR="003A657D" w:rsidRPr="00F76049" w:rsidRDefault="003A657D" w:rsidP="004A025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Výpověď v souladu s jazykovými normami a se zásadami jazykové kultury</w:t>
            </w:r>
          </w:p>
        </w:tc>
        <w:tc>
          <w:tcPr>
            <w:tcW w:w="2160" w:type="dxa"/>
          </w:tcPr>
          <w:p w:rsidR="003A657D" w:rsidRDefault="003A657D" w:rsidP="004A0259">
            <w:pPr>
              <w:ind w:left="0"/>
            </w:pPr>
          </w:p>
        </w:tc>
        <w:tc>
          <w:tcPr>
            <w:tcW w:w="4678" w:type="dxa"/>
          </w:tcPr>
          <w:p w:rsidR="003A657D" w:rsidRPr="00C36255" w:rsidRDefault="003A657D" w:rsidP="004A0259">
            <w:pPr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Default="003A657D" w:rsidP="004A0259">
            <w:pPr>
              <w:ind w:left="0"/>
              <w:rPr>
                <w:b/>
              </w:rPr>
            </w:pPr>
          </w:p>
          <w:p w:rsidR="003A657D" w:rsidRDefault="003A657D" w:rsidP="004A02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A657D" w:rsidRDefault="003A657D" w:rsidP="003A657D">
      <w:pPr>
        <w:ind w:left="0"/>
        <w:rPr>
          <w:b/>
          <w:sz w:val="36"/>
          <w:szCs w:val="36"/>
        </w:rPr>
      </w:pPr>
    </w:p>
    <w:p w:rsidR="003A657D" w:rsidRDefault="003A657D" w:rsidP="003A657D">
      <w:pPr>
        <w:ind w:left="0"/>
        <w:rPr>
          <w:b/>
          <w:sz w:val="36"/>
          <w:szCs w:val="36"/>
        </w:rPr>
      </w:pP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28-25 bodů – výborný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24-20 bodů – chvalitebný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19-16 bodů – dobrý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15-11 bodů – dostatečný</w:t>
      </w:r>
    </w:p>
    <w:p w:rsidR="003A657D" w:rsidRDefault="003A657D" w:rsidP="003A657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10-0 bodů – nedostatečný</w:t>
      </w:r>
    </w:p>
    <w:p w:rsidR="003A657D" w:rsidRDefault="003A657D" w:rsidP="003A657D">
      <w:pPr>
        <w:ind w:left="0"/>
      </w:pPr>
    </w:p>
    <w:sectPr w:rsidR="003A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D"/>
    <w:rsid w:val="003A657D"/>
    <w:rsid w:val="00DC3C04"/>
    <w:rsid w:val="00E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B6DE"/>
  <w15:chartTrackingRefBased/>
  <w15:docId w15:val="{6E5E7966-6E90-4BCB-B9E4-7C23E62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57D"/>
    <w:pPr>
      <w:spacing w:after="0" w:line="240" w:lineRule="auto"/>
      <w:ind w:left="181" w:right="18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657D"/>
    <w:pPr>
      <w:spacing w:after="0" w:line="240" w:lineRule="auto"/>
      <w:ind w:left="181" w:right="18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Janošová</dc:creator>
  <cp:keywords/>
  <dc:description/>
  <cp:lastModifiedBy>Mgr. Ivana Janošová</cp:lastModifiedBy>
  <cp:revision>2</cp:revision>
  <dcterms:created xsi:type="dcterms:W3CDTF">2024-09-26T12:08:00Z</dcterms:created>
  <dcterms:modified xsi:type="dcterms:W3CDTF">2024-09-26T12:25:00Z</dcterms:modified>
</cp:coreProperties>
</file>